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A3F" w:rsidRPr="00E945C8" w:rsidRDefault="00630A3F" w:rsidP="00630A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45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630A3F" w:rsidRPr="00E945C8" w:rsidRDefault="00630A3F" w:rsidP="00630A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45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ЦВЕТОЧНЕНСКОГО СЕЛЬСКОГО ПОСЕЛЕНИЯ</w:t>
      </w:r>
    </w:p>
    <w:p w:rsidR="00630A3F" w:rsidRPr="00E945C8" w:rsidRDefault="00630A3F" w:rsidP="00630A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45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630A3F" w:rsidRPr="00E945C8" w:rsidRDefault="00630A3F" w:rsidP="00630A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45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630A3F" w:rsidRPr="00E945C8" w:rsidRDefault="00E945C8" w:rsidP="00630A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ПОСТАНОВЛЕНИЕ </w:t>
      </w:r>
    </w:p>
    <w:p w:rsidR="00630A3F" w:rsidRPr="00E945C8" w:rsidRDefault="00630A3F" w:rsidP="00630A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0A3F" w:rsidRPr="00E945C8" w:rsidRDefault="003C0CB5" w:rsidP="00F71C24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 w:rsidRPr="00E94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06 июля </w:t>
      </w:r>
      <w:r w:rsidR="00E945C8">
        <w:rPr>
          <w:rFonts w:ascii="Times New Roman" w:eastAsia="Times New Roman" w:hAnsi="Times New Roman" w:cs="Times New Roman"/>
          <w:sz w:val="28"/>
          <w:szCs w:val="28"/>
          <w:lang w:eastAsia="ar-SA"/>
        </w:rPr>
        <w:t>2020 года</w:t>
      </w:r>
      <w:r w:rsidR="00E945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945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945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30A3F" w:rsidRPr="00E94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 Цветочное </w:t>
      </w:r>
      <w:r w:rsidR="00E945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945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945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№ </w:t>
      </w:r>
      <w:r w:rsidRPr="00E945C8">
        <w:rPr>
          <w:rFonts w:ascii="Times New Roman" w:eastAsia="Times New Roman" w:hAnsi="Times New Roman" w:cs="Times New Roman"/>
          <w:sz w:val="28"/>
          <w:szCs w:val="28"/>
          <w:lang w:eastAsia="ar-SA"/>
        </w:rPr>
        <w:t>151</w:t>
      </w:r>
      <w:r w:rsidR="00630A3F" w:rsidRPr="00E945C8">
        <w:rPr>
          <w:rFonts w:ascii="Times New Roman" w:eastAsia="Times New Roman" w:hAnsi="Times New Roman" w:cs="Times New Roman"/>
          <w:sz w:val="28"/>
          <w:szCs w:val="28"/>
          <w:lang w:eastAsia="ar-SA"/>
        </w:rPr>
        <w:t>–ПА</w:t>
      </w:r>
    </w:p>
    <w:p w:rsidR="00853BD5" w:rsidRPr="00E945C8" w:rsidRDefault="00853BD5" w:rsidP="0074627E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53BD5" w:rsidRPr="00E945C8" w:rsidRDefault="00F3482D" w:rsidP="00F71C24">
      <w:pPr>
        <w:ind w:right="22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осуществления банковского сопровождения контрактов, а также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муниципального образования </w:t>
      </w:r>
      <w:proofErr w:type="spellStart"/>
      <w:r w:rsidRPr="00E94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Цветочненского</w:t>
      </w:r>
      <w:proofErr w:type="spellEnd"/>
      <w:r w:rsidRPr="00E94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Белогорского Республики Крым </w:t>
      </w:r>
    </w:p>
    <w:p w:rsidR="00853BD5" w:rsidRPr="00E945C8" w:rsidRDefault="00F3482D" w:rsidP="00630A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5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20 сентября 2014 г</w:t>
      </w:r>
      <w:r w:rsidR="003C0CB5" w:rsidRPr="00E945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E945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963 «Об осуществлении банковского сопровождения контрактов» (в ред. Постановления Правительства РФ от 22.06.2015 N 612), </w:t>
      </w:r>
      <w:r w:rsidR="00853BD5" w:rsidRPr="00E945C8">
        <w:rPr>
          <w:rFonts w:ascii="Times New Roman" w:hAnsi="Times New Roman" w:cs="Times New Roman"/>
          <w:spacing w:val="1"/>
          <w:sz w:val="28"/>
          <w:szCs w:val="28"/>
        </w:rPr>
        <w:t xml:space="preserve">Уставом муниципального образования </w:t>
      </w:r>
      <w:proofErr w:type="spellStart"/>
      <w:r w:rsidR="00B468FE" w:rsidRPr="00E945C8">
        <w:rPr>
          <w:rFonts w:ascii="Times New Roman" w:hAnsi="Times New Roman" w:cs="Times New Roman"/>
          <w:spacing w:val="1"/>
          <w:sz w:val="28"/>
          <w:szCs w:val="28"/>
        </w:rPr>
        <w:t>Цветочненск</w:t>
      </w:r>
      <w:r w:rsidR="00853BD5" w:rsidRPr="00E945C8">
        <w:rPr>
          <w:rFonts w:ascii="Times New Roman" w:hAnsi="Times New Roman" w:cs="Times New Roman"/>
          <w:spacing w:val="1"/>
          <w:sz w:val="28"/>
          <w:szCs w:val="28"/>
        </w:rPr>
        <w:t>ое</w:t>
      </w:r>
      <w:proofErr w:type="spellEnd"/>
      <w:r w:rsidR="00853BD5" w:rsidRPr="00E945C8">
        <w:rPr>
          <w:rFonts w:ascii="Times New Roman" w:hAnsi="Times New Roman" w:cs="Times New Roman"/>
          <w:spacing w:val="1"/>
          <w:sz w:val="28"/>
          <w:szCs w:val="28"/>
        </w:rPr>
        <w:t xml:space="preserve"> сельское поселение Белогорского района Республики Крым, администрация </w:t>
      </w:r>
      <w:r w:rsidR="00B468FE" w:rsidRPr="00E945C8">
        <w:rPr>
          <w:rFonts w:ascii="Times New Roman" w:hAnsi="Times New Roman" w:cs="Times New Roman"/>
          <w:spacing w:val="1"/>
          <w:sz w:val="28"/>
          <w:szCs w:val="28"/>
        </w:rPr>
        <w:t>Цветочненск</w:t>
      </w:r>
      <w:r w:rsidR="00853BD5" w:rsidRPr="00E945C8">
        <w:rPr>
          <w:rFonts w:ascii="Times New Roman" w:hAnsi="Times New Roman" w:cs="Times New Roman"/>
          <w:spacing w:val="1"/>
          <w:sz w:val="28"/>
          <w:szCs w:val="28"/>
        </w:rPr>
        <w:t>ого сельского поселения Белогорского района Республики Крым</w:t>
      </w:r>
    </w:p>
    <w:p w:rsidR="00F71C24" w:rsidRPr="00E945C8" w:rsidRDefault="00853BD5" w:rsidP="00F71C24">
      <w:pPr>
        <w:pStyle w:val="a4"/>
        <w:contextualSpacing/>
        <w:rPr>
          <w:rFonts w:ascii="Times New Roman" w:hAnsi="Times New Roman" w:cs="Times New Roman"/>
          <w:b/>
        </w:rPr>
      </w:pPr>
      <w:r w:rsidRPr="00E945C8">
        <w:rPr>
          <w:rFonts w:ascii="Times New Roman" w:hAnsi="Times New Roman" w:cs="Times New Roman"/>
          <w:b/>
        </w:rPr>
        <w:t>ПОСТАНОВЛЯЕТ:</w:t>
      </w:r>
    </w:p>
    <w:p w:rsidR="00F71C24" w:rsidRPr="00E945C8" w:rsidRDefault="00F3482D" w:rsidP="00F71C24">
      <w:pPr>
        <w:pStyle w:val="a4"/>
        <w:ind w:firstLine="567"/>
        <w:contextualSpacing/>
        <w:rPr>
          <w:rFonts w:ascii="Times New Roman" w:hAnsi="Times New Roman" w:cs="Times New Roman"/>
        </w:rPr>
      </w:pPr>
      <w:r w:rsidRPr="00E945C8">
        <w:rPr>
          <w:rFonts w:ascii="Times New Roman" w:hAnsi="Times New Roman" w:cs="Times New Roman"/>
        </w:rPr>
        <w:t xml:space="preserve">1.Утвердить Порядок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муниципального образования </w:t>
      </w:r>
      <w:proofErr w:type="spellStart"/>
      <w:r w:rsidRPr="00E945C8">
        <w:rPr>
          <w:rFonts w:ascii="Times New Roman" w:hAnsi="Times New Roman" w:cs="Times New Roman"/>
        </w:rPr>
        <w:t>Цветочненского</w:t>
      </w:r>
      <w:proofErr w:type="spellEnd"/>
      <w:r w:rsidRPr="00E945C8">
        <w:rPr>
          <w:rFonts w:ascii="Times New Roman" w:hAnsi="Times New Roman" w:cs="Times New Roman"/>
        </w:rPr>
        <w:t xml:space="preserve"> сельского поселения Белогорского Республики Крым (Приложение 1).</w:t>
      </w:r>
    </w:p>
    <w:p w:rsidR="00F3482D" w:rsidRPr="00E945C8" w:rsidRDefault="00F3482D" w:rsidP="00F71C24">
      <w:pPr>
        <w:pStyle w:val="a4"/>
        <w:ind w:firstLine="567"/>
        <w:contextualSpacing/>
        <w:rPr>
          <w:rFonts w:ascii="Times New Roman" w:hAnsi="Times New Roman" w:cs="Times New Roman"/>
        </w:rPr>
      </w:pPr>
      <w:r w:rsidRPr="00E945C8">
        <w:rPr>
          <w:rFonts w:ascii="Times New Roman" w:hAnsi="Times New Roman" w:cs="Times New Roman"/>
        </w:rPr>
        <w:t xml:space="preserve">2.Утвердить Перечень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муниципального образования </w:t>
      </w:r>
      <w:proofErr w:type="spellStart"/>
      <w:r w:rsidRPr="00E945C8">
        <w:rPr>
          <w:rFonts w:ascii="Times New Roman" w:hAnsi="Times New Roman" w:cs="Times New Roman"/>
        </w:rPr>
        <w:t>Цветочненского</w:t>
      </w:r>
      <w:proofErr w:type="spellEnd"/>
      <w:r w:rsidRPr="00E945C8">
        <w:rPr>
          <w:rFonts w:ascii="Times New Roman" w:hAnsi="Times New Roman" w:cs="Times New Roman"/>
        </w:rPr>
        <w:t xml:space="preserve"> сельского поселения Белогорского района Республики Крым (Приложение 2).</w:t>
      </w:r>
    </w:p>
    <w:p w:rsidR="00F3482D" w:rsidRPr="00E945C8" w:rsidRDefault="00F3482D" w:rsidP="00F3482D">
      <w:pPr>
        <w:pStyle w:val="s3"/>
        <w:shd w:val="clear" w:color="auto" w:fill="FFFFFF"/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  <w:r w:rsidRPr="00E945C8">
        <w:rPr>
          <w:sz w:val="28"/>
          <w:szCs w:val="28"/>
        </w:rPr>
        <w:t>3.Установить, что положения Порядка, утвержденного настоящим постановлением, не применяются в отношении контрактов, заключенных до вступления в силу настоящего постановления.</w:t>
      </w:r>
    </w:p>
    <w:p w:rsidR="00630A3F" w:rsidRPr="00E945C8" w:rsidRDefault="00F3482D" w:rsidP="00F3482D">
      <w:pPr>
        <w:pStyle w:val="s3"/>
        <w:shd w:val="clear" w:color="auto" w:fill="FFFFFF"/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  <w:r w:rsidRPr="00E945C8">
        <w:rPr>
          <w:sz w:val="28"/>
          <w:szCs w:val="28"/>
        </w:rPr>
        <w:t>4</w:t>
      </w:r>
      <w:r w:rsidR="00853BD5" w:rsidRPr="00E945C8">
        <w:rPr>
          <w:sz w:val="28"/>
          <w:szCs w:val="28"/>
        </w:rPr>
        <w:t xml:space="preserve">. </w:t>
      </w:r>
      <w:r w:rsidR="00630A3F" w:rsidRPr="00E945C8">
        <w:rPr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F3482D" w:rsidRPr="00E945C8" w:rsidRDefault="00F3482D" w:rsidP="00630A3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5C8">
        <w:rPr>
          <w:rFonts w:ascii="Times New Roman" w:hAnsi="Times New Roman" w:cs="Times New Roman"/>
          <w:sz w:val="28"/>
          <w:szCs w:val="28"/>
        </w:rPr>
        <w:t>5</w:t>
      </w:r>
      <w:r w:rsidR="00630A3F" w:rsidRPr="00E945C8">
        <w:rPr>
          <w:rFonts w:ascii="Times New Roman" w:hAnsi="Times New Roman" w:cs="Times New Roman"/>
          <w:sz w:val="28"/>
          <w:szCs w:val="28"/>
        </w:rPr>
        <w:t xml:space="preserve">. Данное постановление подлежит обнародованию на информационном стенде администрации </w:t>
      </w:r>
      <w:proofErr w:type="spellStart"/>
      <w:r w:rsidR="00630A3F" w:rsidRPr="00E945C8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630A3F" w:rsidRPr="00E945C8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Крым, расположенном по адресу: 297624, Республика Крым, </w:t>
      </w:r>
      <w:r w:rsidR="00630A3F" w:rsidRPr="00E945C8">
        <w:rPr>
          <w:rFonts w:ascii="Times New Roman" w:hAnsi="Times New Roman" w:cs="Times New Roman"/>
          <w:sz w:val="28"/>
          <w:szCs w:val="28"/>
        </w:rPr>
        <w:lastRenderedPageBreak/>
        <w:t>Белогорский район, с. Цветочное, ул. Трубенко,117, официальном сайте в сети Интернет http://цветочное-адм.рф/,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="00630A3F" w:rsidRPr="00E945C8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630A3F" w:rsidRPr="00E945C8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F71C24" w:rsidRPr="00E945C8" w:rsidRDefault="00F3482D" w:rsidP="00F71C2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5C8">
        <w:rPr>
          <w:rFonts w:ascii="Times New Roman" w:hAnsi="Times New Roman" w:cs="Times New Roman"/>
          <w:sz w:val="28"/>
          <w:szCs w:val="28"/>
        </w:rPr>
        <w:t>6</w:t>
      </w:r>
      <w:r w:rsidR="00630A3F" w:rsidRPr="00E945C8">
        <w:rPr>
          <w:rFonts w:ascii="Times New Roman" w:hAnsi="Times New Roman" w:cs="Times New Roman"/>
          <w:sz w:val="28"/>
          <w:szCs w:val="28"/>
        </w:rPr>
        <w:t>.</w:t>
      </w:r>
      <w:r w:rsidR="00853BD5" w:rsidRPr="00E945C8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630A3F" w:rsidRPr="00E945C8">
        <w:rPr>
          <w:rFonts w:ascii="Times New Roman" w:hAnsi="Times New Roman" w:cs="Times New Roman"/>
          <w:sz w:val="28"/>
          <w:szCs w:val="28"/>
        </w:rPr>
        <w:t>по</w:t>
      </w:r>
      <w:r w:rsidR="00853BD5" w:rsidRPr="00E945C8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630A3F" w:rsidRPr="00E945C8">
        <w:rPr>
          <w:rFonts w:ascii="Times New Roman" w:hAnsi="Times New Roman" w:cs="Times New Roman"/>
          <w:sz w:val="28"/>
          <w:szCs w:val="28"/>
        </w:rPr>
        <w:t>ю</w:t>
      </w:r>
      <w:r w:rsidR="00853BD5" w:rsidRPr="00E945C8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 </w:t>
      </w:r>
    </w:p>
    <w:p w:rsidR="00F71C24" w:rsidRPr="00E945C8" w:rsidRDefault="00F71C24" w:rsidP="00F71C2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0A3F" w:rsidRPr="00E945C8" w:rsidRDefault="00630A3F" w:rsidP="00F71C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5C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E945C8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E945C8">
        <w:rPr>
          <w:rFonts w:ascii="Times New Roman" w:hAnsi="Times New Roman" w:cs="Times New Roman"/>
          <w:sz w:val="28"/>
          <w:szCs w:val="28"/>
        </w:rPr>
        <w:t xml:space="preserve"> сельского совета-</w:t>
      </w:r>
    </w:p>
    <w:p w:rsidR="00F3482D" w:rsidRPr="00E945C8" w:rsidRDefault="00630A3F" w:rsidP="00630A3F">
      <w:pPr>
        <w:pStyle w:val="a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E945C8">
        <w:rPr>
          <w:rFonts w:ascii="Times New Roman" w:eastAsiaTheme="minorHAnsi" w:hAnsi="Times New Roman" w:cs="Times New Roman"/>
          <w:lang w:eastAsia="en-US"/>
        </w:rPr>
        <w:t>г</w:t>
      </w:r>
      <w:r w:rsidR="00E945C8">
        <w:rPr>
          <w:rFonts w:ascii="Times New Roman" w:eastAsiaTheme="minorHAnsi" w:hAnsi="Times New Roman" w:cs="Times New Roman"/>
          <w:lang w:eastAsia="en-US"/>
        </w:rPr>
        <w:t>лава администрации</w:t>
      </w:r>
      <w:r w:rsidRPr="00E945C8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E945C8">
        <w:rPr>
          <w:rFonts w:ascii="Times New Roman" w:eastAsiaTheme="minorHAnsi" w:hAnsi="Times New Roman" w:cs="Times New Roman"/>
          <w:lang w:eastAsia="en-US"/>
        </w:rPr>
        <w:t>Цве</w:t>
      </w:r>
      <w:r w:rsidR="00E945C8">
        <w:rPr>
          <w:rFonts w:ascii="Times New Roman" w:eastAsiaTheme="minorHAnsi" w:hAnsi="Times New Roman" w:cs="Times New Roman"/>
          <w:lang w:eastAsia="en-US"/>
        </w:rPr>
        <w:t>точненского</w:t>
      </w:r>
      <w:proofErr w:type="spellEnd"/>
      <w:r w:rsidR="00E945C8">
        <w:rPr>
          <w:rFonts w:ascii="Times New Roman" w:eastAsiaTheme="minorHAnsi" w:hAnsi="Times New Roman" w:cs="Times New Roman"/>
          <w:lang w:eastAsia="en-US"/>
        </w:rPr>
        <w:t xml:space="preserve"> сельского поселения</w:t>
      </w:r>
      <w:r w:rsidR="00E945C8">
        <w:rPr>
          <w:rFonts w:ascii="Times New Roman" w:eastAsiaTheme="minorHAnsi" w:hAnsi="Times New Roman" w:cs="Times New Roman"/>
          <w:lang w:eastAsia="en-US"/>
        </w:rPr>
        <w:tab/>
      </w:r>
      <w:r w:rsidR="00E945C8">
        <w:rPr>
          <w:rFonts w:ascii="Times New Roman" w:eastAsiaTheme="minorHAnsi" w:hAnsi="Times New Roman" w:cs="Times New Roman"/>
          <w:lang w:eastAsia="en-US"/>
        </w:rPr>
        <w:tab/>
      </w:r>
      <w:r w:rsidRPr="00E945C8">
        <w:rPr>
          <w:rFonts w:ascii="Times New Roman" w:eastAsiaTheme="minorHAnsi" w:hAnsi="Times New Roman" w:cs="Times New Roman"/>
          <w:lang w:eastAsia="en-US"/>
        </w:rPr>
        <w:t xml:space="preserve"> А.С. Юнусов</w:t>
      </w:r>
    </w:p>
    <w:p w:rsidR="00853BD5" w:rsidRPr="00E945C8" w:rsidRDefault="00853BD5" w:rsidP="00630A3F">
      <w:pPr>
        <w:pStyle w:val="a4"/>
        <w:contextualSpacing/>
        <w:jc w:val="both"/>
        <w:rPr>
          <w:rFonts w:ascii="Times New Roman" w:hAnsi="Times New Roman" w:cs="Times New Roman"/>
        </w:rPr>
      </w:pPr>
    </w:p>
    <w:p w:rsidR="00630A3F" w:rsidRPr="00E945C8" w:rsidRDefault="00630A3F" w:rsidP="0074627E">
      <w:pPr>
        <w:pStyle w:val="a4"/>
        <w:ind w:left="5954"/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130"/>
        <w:gridCol w:w="380"/>
        <w:gridCol w:w="6946"/>
      </w:tblGrid>
      <w:tr w:rsidR="00630A3F" w:rsidRPr="00E945C8" w:rsidTr="00721132">
        <w:trPr>
          <w:trHeight w:val="1691"/>
        </w:trPr>
        <w:tc>
          <w:tcPr>
            <w:tcW w:w="3130" w:type="dxa"/>
          </w:tcPr>
          <w:p w:rsidR="00630A3F" w:rsidRPr="00E945C8" w:rsidRDefault="00630A3F" w:rsidP="00630A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:rsidR="00630A3F" w:rsidRPr="00E945C8" w:rsidRDefault="00630A3F" w:rsidP="00630A3F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0A3F" w:rsidRPr="00E945C8" w:rsidRDefault="00630A3F" w:rsidP="00630A3F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30A3F" w:rsidRPr="00E945C8" w:rsidRDefault="00630A3F" w:rsidP="00630A3F">
            <w:pPr>
              <w:tabs>
                <w:tab w:val="left" w:pos="-108"/>
                <w:tab w:val="center" w:pos="23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5C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630A3F" w:rsidRPr="00E945C8" w:rsidRDefault="00630A3F" w:rsidP="00630A3F">
            <w:pPr>
              <w:tabs>
                <w:tab w:val="left" w:pos="624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E945C8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Pr="00E94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</w:t>
            </w:r>
            <w:r w:rsidR="00F43170" w:rsidRPr="00E945C8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  <w:r w:rsidRPr="00E94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Белогорского района Республики Крым от</w:t>
            </w:r>
            <w:r w:rsidR="00721132" w:rsidRPr="00E94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06.07</w:t>
            </w:r>
            <w:r w:rsidR="004875FD" w:rsidRPr="00E945C8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  <w:r w:rsidRPr="00E94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721132" w:rsidRPr="00E945C8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  <w:r w:rsidRPr="00E94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-ПА </w:t>
            </w:r>
            <w:r w:rsidRPr="00E945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F3482D" w:rsidRPr="00E945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утверждении Порядка осуществления банковского сопровождения контрактов, а также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муниципального образования </w:t>
            </w:r>
            <w:proofErr w:type="spellStart"/>
            <w:r w:rsidR="00F3482D" w:rsidRPr="00E945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="00F3482D" w:rsidRPr="00E945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Белогорского Республики Крым</w:t>
            </w:r>
            <w:r w:rsidRPr="00E945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630A3F" w:rsidRPr="00E945C8" w:rsidRDefault="00630A3F" w:rsidP="00630A3F">
            <w:pPr>
              <w:tabs>
                <w:tab w:val="left" w:pos="624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53BD5" w:rsidRPr="00E945C8" w:rsidRDefault="00853BD5" w:rsidP="0074627E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4627E" w:rsidRPr="00E945C8" w:rsidRDefault="0074627E" w:rsidP="0074627E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E945C8">
        <w:rPr>
          <w:b/>
          <w:sz w:val="28"/>
          <w:szCs w:val="28"/>
        </w:rPr>
        <w:t>ПОРЯДОК</w:t>
      </w:r>
    </w:p>
    <w:p w:rsidR="0074627E" w:rsidRPr="00E945C8" w:rsidRDefault="00F3482D" w:rsidP="0074627E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E945C8">
        <w:rPr>
          <w:b/>
          <w:sz w:val="28"/>
          <w:szCs w:val="28"/>
        </w:rPr>
        <w:t xml:space="preserve">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муниципального образования </w:t>
      </w:r>
      <w:proofErr w:type="spellStart"/>
      <w:r w:rsidRPr="00E945C8">
        <w:rPr>
          <w:b/>
          <w:sz w:val="28"/>
          <w:szCs w:val="28"/>
        </w:rPr>
        <w:t>Цветочненского</w:t>
      </w:r>
      <w:proofErr w:type="spellEnd"/>
      <w:r w:rsidRPr="00E945C8">
        <w:rPr>
          <w:b/>
          <w:sz w:val="28"/>
          <w:szCs w:val="28"/>
        </w:rPr>
        <w:t xml:space="preserve"> сельского поселения Белогорского Республики Крым</w:t>
      </w:r>
    </w:p>
    <w:p w:rsidR="00F3482D" w:rsidRPr="00E945C8" w:rsidRDefault="00F3482D" w:rsidP="00FD0A12">
      <w:pPr>
        <w:keepNext/>
        <w:keepLines/>
        <w:tabs>
          <w:tab w:val="left" w:pos="8931"/>
        </w:tabs>
        <w:spacing w:after="0" w:line="240" w:lineRule="auto"/>
        <w:ind w:left="362" w:right="24" w:firstLine="2615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1. Общие положения 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D0A12"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Порядок устанавливает условия осуществления банковского сопровождения муниципальных контрактов, заключаемых в целях обеспечения муниципальных нужд муниципального образования городской округ Саки Республики Крым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 также согласно  Регионального порядка осуществления государственных закупок</w:t>
      </w:r>
      <w:r w:rsid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Республики Крым </w:t>
      </w: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2016 году, утвержденного постановлением Совета министров Республики Крым от 20 мая 2016 года №219, (далее -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 </w:t>
      </w:r>
    </w:p>
    <w:p w:rsidR="00F3482D" w:rsidRPr="00E945C8" w:rsidRDefault="00FD0A12" w:rsidP="00F3482D">
      <w:pPr>
        <w:tabs>
          <w:tab w:val="left" w:pos="8931"/>
        </w:tabs>
        <w:spacing w:after="0" w:line="240" w:lineRule="auto"/>
        <w:ind w:left="1103" w:right="60" w:hanging="3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3482D"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Для целей настоящего Порядка используются следующие понятия: 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банковское сопровождение контракта – проведение банком контроля и мониторинга расчетов поставщика, подрядчика, исполнителя (далее - поставщик) и всех привлекаемых в ходе исполнения контракта субподрядчиков, соисполнителей </w:t>
      </w: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(далее - соисполнитель), осуществляемых в целях исполнения контракта, и доведение результатов указанного контроля и мониторинга до сведения заказчика; 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также согласно  Регионального порядка осуществления государственных закупок на территории Республики Крым  в 2016 году, утвержденного постановлением Совета министров Республики Крым от 20 мая 2016 года №219, содержащие в случаях, установленных приложением к настоящему постановлению, условие о банковском сопровождении контракта; 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 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3482D" w:rsidP="00F3482D">
      <w:pPr>
        <w:keepNext/>
        <w:keepLines/>
        <w:tabs>
          <w:tab w:val="left" w:pos="8931"/>
        </w:tabs>
        <w:spacing w:after="0" w:line="240" w:lineRule="auto"/>
        <w:ind w:left="1840" w:right="144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Условия осуществления банковского сопровождения контрактов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D0A12" w:rsidP="00F3482D">
      <w:pPr>
        <w:tabs>
          <w:tab w:val="left" w:pos="8931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3482D"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-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- договор банковского сопровождения). </w:t>
      </w:r>
    </w:p>
    <w:p w:rsidR="00F3482D" w:rsidRPr="00E945C8" w:rsidRDefault="00FD0A12" w:rsidP="00F3482D">
      <w:pPr>
        <w:tabs>
          <w:tab w:val="left" w:pos="8931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3482D"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случаях, указанных в Приложении 2 к настоящему постановлению, в сопровождаемый контракт включаются условия: 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поставщиком заказчику и банку, осуществляющему банковское сопровождение контракта, информации </w:t>
      </w:r>
      <w:proofErr w:type="gramStart"/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соисполнителях</w:t>
      </w:r>
      <w:proofErr w:type="gramEnd"/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привлекаемых им в ходе исполнения сопровождаемого контракта; 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об ответственности поставщика за несоблюдение условий, установленных настоящим пунктом. </w:t>
      </w:r>
    </w:p>
    <w:p w:rsidR="00F3482D" w:rsidRPr="00E945C8" w:rsidRDefault="00FD0A12" w:rsidP="00FD0A12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3482D"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Сопровождаемый контракт содержит условия в отношении банка, в том числе: 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68" w:firstLine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-полномочия банка по доведению до сведения </w:t>
      </w:r>
      <w:proofErr w:type="spellStart"/>
      <w:proofErr w:type="gramStart"/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заказчика,результатов</w:t>
      </w:r>
      <w:proofErr w:type="spellEnd"/>
      <w:proofErr w:type="gramEnd"/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осуществляемого в рамках банковского сопровождения контракта, контроля и мониторинга; </w:t>
      </w:r>
    </w:p>
    <w:p w:rsidR="00FD0A12" w:rsidRPr="00E945C8" w:rsidRDefault="00F3482D" w:rsidP="00FD0A12">
      <w:pPr>
        <w:tabs>
          <w:tab w:val="left" w:pos="8931"/>
        </w:tabs>
        <w:spacing w:after="0" w:line="240" w:lineRule="auto"/>
        <w:ind w:right="68" w:firstLine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-полномочия заказчика по принятию решений по результатам проведенного банком контроля и мониторинга. </w:t>
      </w:r>
    </w:p>
    <w:p w:rsidR="00F3482D" w:rsidRPr="00E945C8" w:rsidRDefault="00FD0A12" w:rsidP="00FD0A12">
      <w:pPr>
        <w:tabs>
          <w:tab w:val="left" w:pos="8931"/>
        </w:tabs>
        <w:spacing w:after="0" w:line="240" w:lineRule="auto"/>
        <w:ind w:right="68" w:firstLine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F3482D"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целях осуществления банковского сопровождения контракта между поставщиком, соисполнителем и банком заключается договор банковского сопровождения, который должен содержать: 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left="381" w:right="60" w:firstLine="3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предмет сопровождаемого контракта; 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 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порядок и сроки заключения договора обособленного счета, обязательство поставщика обеспечить открытие обособленных счетов соисполнителями; 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полномочия банка, предусмотренные пунктом 10 настоящего Порядка. 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Требования к банкам и порядку их отбора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D0A12" w:rsidP="00FD0A12">
      <w:pPr>
        <w:pStyle w:val="a9"/>
        <w:tabs>
          <w:tab w:val="left" w:pos="0"/>
        </w:tabs>
        <w:spacing w:after="0" w:line="240" w:lineRule="auto"/>
        <w:ind w:left="0"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F3482D"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Банковское сопровождение контракта осуществляется банком, включенным в перечень банков, предусмотренный статьей 176.1 Налогового кодекса Российской Федерации, и отвечающих установленным требованиям для принятия банковских гарантий в целях налогообложения. </w:t>
      </w:r>
    </w:p>
    <w:p w:rsidR="00F3482D" w:rsidRPr="00E945C8" w:rsidRDefault="00F3482D" w:rsidP="00F3482D">
      <w:pPr>
        <w:keepNext/>
        <w:keepLines/>
        <w:tabs>
          <w:tab w:val="left" w:pos="8931"/>
        </w:tabs>
        <w:spacing w:after="0" w:line="240" w:lineRule="auto"/>
        <w:ind w:left="1785" w:right="138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4. Условия договора обособленного счета, заключаемого с </w:t>
      </w:r>
      <w:r w:rsidR="00FD0A12"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анком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D0A12" w:rsidP="00F3482D">
      <w:pPr>
        <w:tabs>
          <w:tab w:val="left" w:pos="8931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3482D"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482D"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Обособленный счет открывается поставщиком в определенном им банке, отвечающем требованию, установленному пунктом 7 Раздела 3 настоящего Порядка. 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 </w:t>
      </w:r>
    </w:p>
    <w:p w:rsidR="00F3482D" w:rsidRPr="00E945C8" w:rsidRDefault="00FD0A12" w:rsidP="00F3482D">
      <w:pPr>
        <w:tabs>
          <w:tab w:val="left" w:pos="8931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3482D"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482D"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 </w:t>
      </w:r>
    </w:p>
    <w:p w:rsidR="00F3482D" w:rsidRPr="00E945C8" w:rsidRDefault="00FD0A12" w:rsidP="00F3482D">
      <w:pPr>
        <w:tabs>
          <w:tab w:val="left" w:pos="8931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="00F3482D"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482D"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договором обособленного счета банк, осуществляющий банковское сопровождение контракта, выполняет следующие полномочия: 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1)осуществление</w:t>
      </w:r>
      <w:proofErr w:type="gramEnd"/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целевого использования денежных средств с обособленного счета, включающего: 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-проведение проверок платежных документов, представляемых поставщиком и соисполнителями в целях оплаты денежных обязательств; 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 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2)проведение</w:t>
      </w:r>
      <w:proofErr w:type="gramEnd"/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 исполнения сопровождаемого контракта, срокам поставки товаров, выполнения работ, оказания услуг и количеству товаров, объему работ, услуг, предусмотренным сопровождаемым контрактом; 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3)утвержденной</w:t>
      </w:r>
      <w:proofErr w:type="gramEnd"/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</w:t>
      </w: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 4) иные функции, предусмотренные контрактом. 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3482D" w:rsidP="00F3482D">
      <w:pPr>
        <w:keepNext/>
        <w:keepLines/>
        <w:tabs>
          <w:tab w:val="left" w:pos="8931"/>
        </w:tabs>
        <w:spacing w:after="0" w:line="240" w:lineRule="auto"/>
        <w:ind w:left="362" w:right="28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 Требования к содержанию формируемых банками отчетов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D0A12" w:rsidP="00F3482D">
      <w:pPr>
        <w:tabs>
          <w:tab w:val="left" w:pos="8931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F3482D"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482D"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Банк, осуществляющий банковское сопровождение контракта, ежемесячно не позднее 15 числа месяца, следующего за отчетным периодом, представляет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 </w:t>
      </w:r>
    </w:p>
    <w:p w:rsidR="00F3482D" w:rsidRPr="00E945C8" w:rsidRDefault="00FD0A12" w:rsidP="00F3482D">
      <w:pPr>
        <w:tabs>
          <w:tab w:val="left" w:pos="8931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F3482D"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482D"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Банк, осуществляющий банковское сопровождение контракта, ежеквартально не позднее 25 числа месяца, следующего за отчетным периодом, представляет заказчику отчет о банковском сопровождении контракта, который должен содержать: 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1)информацию</w:t>
      </w:r>
      <w:proofErr w:type="gramEnd"/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 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2)информацию</w:t>
      </w:r>
      <w:proofErr w:type="gramEnd"/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результатах мониторинга исполнения сопровождаемого контракта; 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3)утвержденной</w:t>
      </w:r>
      <w:proofErr w:type="gramEnd"/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 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left="709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4)иную</w:t>
      </w:r>
      <w:proofErr w:type="gramEnd"/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информацию, предусмотренную контрактом. 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left="709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A12" w:rsidRPr="00E945C8" w:rsidRDefault="00FD0A12" w:rsidP="00F3482D">
      <w:pPr>
        <w:tabs>
          <w:tab w:val="left" w:pos="8931"/>
        </w:tabs>
        <w:spacing w:after="0" w:line="240" w:lineRule="auto"/>
        <w:ind w:left="3686" w:right="423" w:firstLine="2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130"/>
        <w:gridCol w:w="380"/>
        <w:gridCol w:w="6804"/>
      </w:tblGrid>
      <w:tr w:rsidR="00FD0A12" w:rsidRPr="00E945C8" w:rsidTr="00721132">
        <w:trPr>
          <w:trHeight w:val="1691"/>
        </w:trPr>
        <w:tc>
          <w:tcPr>
            <w:tcW w:w="3130" w:type="dxa"/>
          </w:tcPr>
          <w:p w:rsidR="00FD0A12" w:rsidRPr="00E945C8" w:rsidRDefault="00FD0A12" w:rsidP="00FD0A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:rsidR="00FD0A12" w:rsidRPr="00E945C8" w:rsidRDefault="00FD0A12" w:rsidP="00FD0A1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0A12" w:rsidRPr="00E945C8" w:rsidRDefault="00FD0A12" w:rsidP="00FD0A1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D0A12" w:rsidRPr="00E945C8" w:rsidRDefault="00FD0A12" w:rsidP="00FD0A12">
            <w:pPr>
              <w:tabs>
                <w:tab w:val="left" w:pos="-108"/>
                <w:tab w:val="center" w:pos="23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5C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FD0A12" w:rsidRPr="00E945C8" w:rsidRDefault="00FD0A12" w:rsidP="00FD0A12">
            <w:pPr>
              <w:tabs>
                <w:tab w:val="left" w:pos="624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4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E945C8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Pr="00E94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Белогорского района Республики Крым от</w:t>
            </w:r>
            <w:r w:rsidR="00E94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06.07.</w:t>
            </w:r>
            <w:r w:rsidRPr="00E945C8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E94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45C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B9181D" w:rsidRPr="00E94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945C8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  <w:bookmarkStart w:id="0" w:name="_GoBack"/>
            <w:bookmarkEnd w:id="0"/>
            <w:r w:rsidRPr="00E94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-ПА </w:t>
            </w:r>
            <w:r w:rsidRPr="00E945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«Об утверждении Порядка осуществления банковского сопровождения контрактов, а также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муниципального образования </w:t>
            </w:r>
            <w:proofErr w:type="spellStart"/>
            <w:r w:rsidRPr="00E945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E945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Белогорского Республики Крым»</w:t>
            </w:r>
          </w:p>
          <w:p w:rsidR="00FD0A12" w:rsidRPr="00E945C8" w:rsidRDefault="00FD0A12" w:rsidP="00FD0A12">
            <w:pPr>
              <w:tabs>
                <w:tab w:val="left" w:pos="624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3482D" w:rsidRPr="00E945C8" w:rsidRDefault="00F3482D" w:rsidP="00F3482D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</w:t>
      </w:r>
    </w:p>
    <w:p w:rsidR="00F3482D" w:rsidRPr="00E945C8" w:rsidRDefault="00F3482D" w:rsidP="00F3482D">
      <w:pPr>
        <w:keepNext/>
        <w:keepLines/>
        <w:tabs>
          <w:tab w:val="left" w:pos="893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муниципального образования </w:t>
      </w:r>
      <w:proofErr w:type="spellStart"/>
      <w:r w:rsidR="00FD0A12" w:rsidRPr="00E945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Цветочненского</w:t>
      </w:r>
      <w:proofErr w:type="spellEnd"/>
      <w:r w:rsidRPr="00E945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совета Белогорского района Республики Крым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left="9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 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цена такого контракта составляет не менее 30 млн.</w:t>
      </w:r>
      <w:r w:rsidR="00FD0A12"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рублей. В этом случае в контракт включается условие о банковском сопровождении контракта, заключающееся в проведении банком, привлечении поставщиком или заказчиком, мониторинга расчетов в рамках исполнения контракта; </w:t>
      </w: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left="9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82D" w:rsidRPr="00E945C8" w:rsidRDefault="00F3482D" w:rsidP="00F3482D">
      <w:pPr>
        <w:tabs>
          <w:tab w:val="left" w:pos="8931"/>
        </w:tabs>
        <w:spacing w:after="0" w:line="240" w:lineRule="auto"/>
        <w:ind w:left="9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27E" w:rsidRPr="00E945C8" w:rsidRDefault="0074627E" w:rsidP="0074627E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sectPr w:rsidR="0074627E" w:rsidRPr="00E945C8" w:rsidSect="00E945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54E2F"/>
    <w:multiLevelType w:val="hybridMultilevel"/>
    <w:tmpl w:val="D3120D20"/>
    <w:lvl w:ilvl="0" w:tplc="B456DE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A87194"/>
    <w:multiLevelType w:val="hybridMultilevel"/>
    <w:tmpl w:val="1C1A63E8"/>
    <w:lvl w:ilvl="0" w:tplc="9C60B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C701A7"/>
    <w:multiLevelType w:val="multilevel"/>
    <w:tmpl w:val="3CB0B1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B6B3A42"/>
    <w:multiLevelType w:val="hybridMultilevel"/>
    <w:tmpl w:val="3000F618"/>
    <w:lvl w:ilvl="0" w:tplc="15304A7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D5"/>
    <w:rsid w:val="003C0CB5"/>
    <w:rsid w:val="004875FD"/>
    <w:rsid w:val="00630A3F"/>
    <w:rsid w:val="00721132"/>
    <w:rsid w:val="0074627E"/>
    <w:rsid w:val="00853BD5"/>
    <w:rsid w:val="00947473"/>
    <w:rsid w:val="00A96475"/>
    <w:rsid w:val="00AE2669"/>
    <w:rsid w:val="00B468FE"/>
    <w:rsid w:val="00B9181D"/>
    <w:rsid w:val="00C82A6E"/>
    <w:rsid w:val="00DA3B26"/>
    <w:rsid w:val="00E945C8"/>
    <w:rsid w:val="00EF56B1"/>
    <w:rsid w:val="00EF7ED6"/>
    <w:rsid w:val="00F3482D"/>
    <w:rsid w:val="00F43170"/>
    <w:rsid w:val="00F71C24"/>
    <w:rsid w:val="00FD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E3172-A4CD-4AE4-9EE1-5AFA16EB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5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53BD5"/>
    <w:rPr>
      <w:color w:val="0000FF"/>
      <w:u w:val="single"/>
    </w:rPr>
  </w:style>
  <w:style w:type="paragraph" w:customStyle="1" w:styleId="s1">
    <w:name w:val="s_1"/>
    <w:basedOn w:val="a"/>
    <w:rsid w:val="0085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3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53BD5"/>
    <w:pPr>
      <w:spacing w:after="0" w:line="240" w:lineRule="auto"/>
    </w:pPr>
    <w:rPr>
      <w:rFonts w:ascii="Arial Narrow" w:eastAsia="Times New Roman" w:hAnsi="Arial Narrow" w:cs="Arial Narrow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853BD5"/>
    <w:rPr>
      <w:rFonts w:ascii="Arial Narrow" w:eastAsia="Times New Roman" w:hAnsi="Arial Narrow" w:cs="Arial Narrow"/>
      <w:sz w:val="28"/>
      <w:szCs w:val="28"/>
      <w:lang w:eastAsia="ru-RU"/>
    </w:rPr>
  </w:style>
  <w:style w:type="character" w:styleId="a6">
    <w:name w:val="Emphasis"/>
    <w:basedOn w:val="a0"/>
    <w:uiPriority w:val="20"/>
    <w:qFormat/>
    <w:rsid w:val="0074627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5F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34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5EDD0-EE54-4BE9-9B5B-57EFDB3D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1874</Words>
  <Characters>10685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Раздел 1. Общие положения </vt:lpstr>
      <vt:lpstr>Раздел 2. Условия осуществления банковского сопровождения контрактов</vt:lpstr>
      <vt:lpstr>Раздел 4. Условия договора обособленного счета, заключаемого с банком</vt:lpstr>
      <vt:lpstr>Раздел 5. Требования к содержанию формируемых банками отчетов</vt:lpstr>
      <vt:lpstr>случаев осуществления банковского сопровождения контрактов, предметом которых яв</vt:lpstr>
    </vt:vector>
  </TitlesOfParts>
  <Company/>
  <LinksUpToDate>false</LinksUpToDate>
  <CharactersWithSpaces>12534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админ11</dc:creator>
  <cp:lastModifiedBy>Марина</cp:lastModifiedBy>
  <cp:revision>13</cp:revision>
  <cp:lastPrinted>2020-07-07T05:41:00Z</cp:lastPrinted>
  <dcterms:created xsi:type="dcterms:W3CDTF">2020-05-29T12:00:00Z</dcterms:created>
  <dcterms:modified xsi:type="dcterms:W3CDTF">2020-07-08T08:07:00Z</dcterms:modified>
</cp:coreProperties>
</file>